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1916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профилактических мероприятий, запланированные  Управлением Роспотребнадзора </w:t>
      </w:r>
      <w:r/>
    </w:p>
    <w:p>
      <w:pPr>
        <w:jc w:val="center"/>
        <w:tabs>
          <w:tab w:val="left" w:pos="1916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Республике Алтай</w:t>
      </w:r>
      <w:r>
        <w:rPr>
          <w:b/>
          <w:color w:val="000000"/>
          <w:sz w:val="28"/>
          <w:szCs w:val="28"/>
        </w:rPr>
        <w:t xml:space="preserve"> на 2025 год </w:t>
      </w:r>
      <w:bookmarkStart w:id="0" w:name="_GoBack"/>
      <w:r/>
      <w:bookmarkEnd w:id="0"/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tbl>
      <w:tblPr>
        <w:tblStyle w:val="644"/>
        <w:tblW w:w="14281" w:type="dxa"/>
        <w:tblLayout w:type="fixed"/>
        <w:tblLook w:val="04A0" w:firstRow="1" w:lastRow="0" w:firstColumn="1" w:lastColumn="0" w:noHBand="0" w:noVBand="1"/>
      </w:tblPr>
      <w:tblGrid>
        <w:gridCol w:w="2659"/>
        <w:gridCol w:w="2976"/>
        <w:gridCol w:w="2976"/>
        <w:gridCol w:w="5669"/>
      </w:tblGrid>
      <w:tr>
        <w:trPr/>
        <w:tc>
          <w:tcPr>
            <w:tcW w:w="2659" w:type="dxa"/>
            <w:vAlign w:val="center"/>
            <w:textDirection w:val="lrTb"/>
            <w:noWrap w:val="false"/>
          </w:tcPr>
          <w:p>
            <w:pPr>
              <w:jc w:val="center"/>
              <w:spacing w:after="288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Виды профилактических мероприятий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288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Ответственный исполнитель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288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Периодичность  проведения</w:t>
            </w:r>
            <w:r/>
          </w:p>
        </w:tc>
        <w:tc>
          <w:tcPr>
            <w:tcW w:w="5669" w:type="dxa"/>
            <w:vAlign w:val="center"/>
            <w:textDirection w:val="lrTb"/>
            <w:noWrap w:val="false"/>
          </w:tcPr>
          <w:p>
            <w:pPr>
              <w:jc w:val="center"/>
              <w:spacing w:after="288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Способы проведения мероприятия</w:t>
            </w:r>
            <w:r/>
          </w:p>
        </w:tc>
      </w:tr>
      <w:tr>
        <w:trPr/>
        <w:tc>
          <w:tcPr>
            <w:tcW w:w="2659" w:type="dxa"/>
            <w:vAlign w:val="center"/>
            <w:textDirection w:val="lrTb"/>
            <w:noWrap w:val="false"/>
          </w:tcPr>
          <w:p>
            <w:pPr>
              <w:spacing w:after="288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Информирование</w:t>
            </w:r>
            <w:r/>
          </w:p>
          <w:p>
            <w:pPr>
              <w:spacing w:after="288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spacing w:after="28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6"/>
                <w:szCs w:val="26"/>
                <w:highlight w:val="white"/>
              </w:rPr>
              <w:t xml:space="preserve">Отдел защиты прав потребителей Управления (далее - ОЗПП), Территориальные отделы (далее - ТО), Учебно-консультационный центр по защите прав потребителей, гигиенического обучения и воспитания населения ФБУЗ "Центр гигиены и эпидемиологии в Республике Алтай" и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6"/>
                <w:szCs w:val="26"/>
                <w:highlight w:val="white"/>
              </w:rPr>
              <w:t xml:space="preserve"> его филиалы (далее - ФБУЗ)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spacing w:after="288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На постоянной основе</w:t>
            </w:r>
            <w:r/>
          </w:p>
        </w:tc>
        <w:tc>
          <w:tcPr>
            <w:tcW w:w="5669" w:type="dxa"/>
            <w:vAlign w:val="center"/>
            <w:textDirection w:val="lrTb"/>
            <w:noWrap w:val="false"/>
          </w:tcPr>
          <w:p>
            <w:pPr>
              <w:jc w:val="both"/>
              <w:spacing w:after="288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  <w:r>
              <w:rPr>
                <w:bCs/>
                <w:color w:val="000000"/>
                <w:sz w:val="26"/>
                <w:szCs w:val="26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Управления в сети "Интернет", в средствах массовой информации, ч</w:t>
            </w:r>
            <w:r>
              <w:rPr>
                <w:bCs/>
                <w:color w:val="000000"/>
                <w:sz w:val="26"/>
                <w:szCs w:val="26"/>
              </w:rPr>
              <w:t xml:space="preserve">ерез личные кабинеты контролируемых лиц в государственных информационных системах (при их наличии) и в иных формах</w:t>
            </w:r>
            <w:r>
              <w:rPr>
                <w:bCs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tcW w:w="2659" w:type="dxa"/>
            <w:vAlign w:val="center"/>
            <w:textDirection w:val="lrTb"/>
            <w:noWrap w:val="false"/>
          </w:tcPr>
          <w:p>
            <w:pPr>
              <w:spacing w:after="28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Меры стимулирования добросовестности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spacing w:after="288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ОЗПП, ТО 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spacing w:after="28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 мере обращений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контролируемых лиц</w:t>
            </w:r>
            <w:r/>
          </w:p>
        </w:tc>
        <w:tc>
          <w:tcPr>
            <w:tcW w:w="5669" w:type="dxa"/>
            <w:vAlign w:val="center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виде оценки соответствия </w:t>
            </w:r>
            <w:r/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контролируемого лица </w:t>
            </w:r>
            <w:r>
              <w:rPr>
                <w:sz w:val="26"/>
                <w:szCs w:val="26"/>
              </w:rPr>
              <w:t xml:space="preserve">соответствующим</w:t>
            </w:r>
            <w:r>
              <w:rPr>
                <w:sz w:val="26"/>
                <w:szCs w:val="26"/>
              </w:rPr>
              <w:t xml:space="preserve"> </w:t>
            </w:r>
            <w:r/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критериям добросовестности за период </w:t>
            </w:r>
            <w:r>
              <w:rPr>
                <w:sz w:val="26"/>
                <w:szCs w:val="26"/>
              </w:rPr>
              <w:t xml:space="preserve">от</w:t>
            </w:r>
            <w:r>
              <w:rPr>
                <w:sz w:val="26"/>
                <w:szCs w:val="26"/>
              </w:rPr>
              <w:t xml:space="preserve"> </w:t>
            </w:r>
            <w:r/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одного года до трех лет в зависимости </w:t>
            </w:r>
            <w:r/>
          </w:p>
          <w:p>
            <w:r>
              <w:rPr>
                <w:sz w:val="26"/>
                <w:szCs w:val="26"/>
              </w:rPr>
              <w:t xml:space="preserve">от категории риска (в соответствии с п. 16 ПП РФ № 1005)</w:t>
            </w:r>
            <w:r/>
          </w:p>
        </w:tc>
      </w:tr>
      <w:tr>
        <w:trPr/>
        <w:tc>
          <w:tcPr>
            <w:tcW w:w="2659" w:type="dxa"/>
            <w:vAlign w:val="center"/>
            <w:textDirection w:val="lrTb"/>
            <w:noWrap w:val="false"/>
          </w:tcPr>
          <w:p>
            <w:pPr>
              <w:spacing w:after="28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Консультирование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spacing w:after="28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  <w:t xml:space="preserve">ОЗПП, ТО, ФБУЗ</w:t>
            </w:r>
            <w:r>
              <w:rPr>
                <w:color w:val="000000"/>
                <w:sz w:val="26"/>
                <w:szCs w:val="26"/>
              </w:rPr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spacing w:after="28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 обращении контролируемых лиц и их представителей </w:t>
            </w:r>
            <w:r/>
          </w:p>
        </w:tc>
        <w:tc>
          <w:tcPr>
            <w:tcW w:w="566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6"/>
                <w:szCs w:val="26"/>
              </w:rPr>
              <w:t xml:space="preserve">Консультирование контролируемых лиц и их уполномоченных представителей по установленным обязательным требованиям и вопросам, связанным с порядком осуществления государственного контроля (надзора). Осуществляется в устном или письменном виде при личном обра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6"/>
                <w:szCs w:val="26"/>
              </w:rPr>
              <w:t xml:space="preserve">щении (по графику), посредством телефонной связи, электронной почты, видео-конференц-связи, в ходе проведения профилактического или контрольного (надзорного) мероприятия. Информация о перечне вопросов и должностных лицах, осуществляющих консультирование, у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6"/>
                <w:szCs w:val="26"/>
              </w:rPr>
              <w:t xml:space="preserve">твержденный график консультирования размещаются на стенде Управления в доступном для граждан месте, а также на его официальном сайте в сети "Интернет"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</w:tr>
      <w:tr>
        <w:trPr/>
        <w:tc>
          <w:tcPr>
            <w:tcW w:w="2659" w:type="dxa"/>
            <w:textDirection w:val="lrTb"/>
            <w:noWrap w:val="false"/>
          </w:tcPr>
          <w:p>
            <w:pPr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  <w:p>
            <w:pPr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  <w:p>
            <w:pPr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Объявление предостережений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  <w:p>
            <w:pPr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  <w:p>
            <w:pPr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  <w:p>
            <w:pPr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ОЗПП, ТО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По мере поступления сведений о готовящихся нарушениях обязательных требований или признаках нарушения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</w:t>
            </w:r>
            <w:r>
              <w:rPr>
                <w:sz w:val="26"/>
                <w:szCs w:val="26"/>
              </w:rPr>
              <w:t xml:space="preserve">коном ценностям либо создало угрозу причинения вреда (ущерба) охраняемым законом ценностям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before="0" w:after="0" w:line="57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и направляется контролируемому лицу и должно содержать указание на соответствующие обязательные требования, предусматривающий их нормативный правовой акт, информацию о том, каки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6"/>
                <w:szCs w:val="26"/>
              </w:rPr>
              <w:t xml:space="preserve">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 В предостережении контролируемому лицу в целях проведен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6"/>
                <w:szCs w:val="26"/>
              </w:rPr>
              <w:t xml:space="preserve">ия им самостоятельной оценки соблюдения обязательных требований (самообследования) указывается адрес сайта в сети "Интернет", позволяющий пройти самообследование соблюдения обязательных требований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</w:tr>
      <w:tr>
        <w:trPr/>
        <w:tc>
          <w:tcPr>
            <w:tcW w:w="2659" w:type="dxa"/>
            <w:vAlign w:val="center"/>
            <w:textDirection w:val="lrTb"/>
            <w:noWrap w:val="false"/>
          </w:tcPr>
          <w:p>
            <w:pPr>
              <w:spacing w:after="288"/>
              <w:rPr>
                <w:color w:val="000000"/>
                <w:sz w:val="26"/>
                <w:szCs w:val="26"/>
                <w:highlight w:val="none"/>
              </w:rPr>
            </w:pPr>
            <w:r>
              <w:rPr>
                <w:color w:val="000000"/>
                <w:sz w:val="26"/>
                <w:szCs w:val="26"/>
              </w:rPr>
              <w:t xml:space="preserve">Самообследование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/>
          </w:p>
          <w:p>
            <w:pPr>
              <w:spacing w:after="28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none"/>
              </w:rPr>
              <w:t xml:space="preserve">(осуществляется контролируемым лицом) </w:t>
            </w:r>
            <w:r>
              <w:rPr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spacing w:after="28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ОЗПП 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spacing w:after="28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 постоянной основе</w:t>
            </w:r>
            <w:r/>
          </w:p>
        </w:tc>
        <w:tc>
          <w:tcPr>
            <w:tcW w:w="5669" w:type="dxa"/>
            <w:vAlign w:val="center"/>
            <w:textDirection w:val="lrTb"/>
            <w:noWrap w:val="false"/>
          </w:tcPr>
          <w:p>
            <w:pPr>
              <w:spacing w:after="28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  <w:t xml:space="preserve">Размещение на официальном сайте Управления в сети "Интернет" утвержденных Федеральной службой по надзору в сфере защиты прав потребителей и благополучия человека методических рекомендаций по проведению самообследования и подготовке декларации</w:t>
            </w:r>
            <w:r>
              <w:rPr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tcW w:w="2659" w:type="dxa"/>
            <w:vAlign w:val="center"/>
            <w:textDirection w:val="lrTb"/>
            <w:noWrap w:val="false"/>
          </w:tcPr>
          <w:p>
            <w:pPr>
              <w:spacing w:after="28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Профилактический</w:t>
            </w:r>
            <w:r>
              <w:rPr>
                <w:color w:val="000000"/>
                <w:sz w:val="26"/>
                <w:szCs w:val="26"/>
              </w:rPr>
              <w:t xml:space="preserve"> визит 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spacing w:after="28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ОЗПП , ТО, ФБУЗ 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spacing w:after="28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  <w:t xml:space="preserve">Согласноутвержденному плану профилактических визитов или по отдельным поручениям Управления</w:t>
            </w:r>
            <w:r>
              <w:rPr>
                <w:color w:val="000000"/>
                <w:sz w:val="26"/>
                <w:szCs w:val="26"/>
              </w:rPr>
            </w:r>
            <w:r/>
          </w:p>
        </w:tc>
        <w:tc>
          <w:tcPr>
            <w:tcW w:w="5669" w:type="dxa"/>
            <w:vAlign w:val="center"/>
            <w:textDirection w:val="lrTb"/>
            <w:noWrap w:val="false"/>
          </w:tcPr>
          <w:p>
            <w:pPr>
              <w:jc w:val="both"/>
              <w:spacing w:after="28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  <w:t xml:space="preserve">Профилактический визит проводится 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</w:t>
            </w:r>
            <w:r>
              <w:rPr>
                <w:color w:val="000000"/>
                <w:sz w:val="26"/>
                <w:szCs w:val="26"/>
              </w:rPr>
              <w:t xml:space="preserve">тельных требованиях, предъявляемых к его деятельности либо к принадлежащим ему объектам контроля. В ходе профилактического визита инспектором может осуществляться консультирование контролируемого лица. Информация о проведении обязательного профилактического</w:t>
            </w:r>
            <w:r>
              <w:rPr>
                <w:color w:val="000000"/>
                <w:sz w:val="26"/>
                <w:szCs w:val="26"/>
              </w:rPr>
              <w:t xml:space="preserve"> визита указанным лицам, приступающим к осуществлению деятельности в определенной сфере, предоставляется в порядке, установленном Федеральным законом "О государственном контроле (надзоре) и муниципальном контроле в Российской Федерации", а также путем разме</w:t>
            </w:r>
            <w:r>
              <w:rPr>
                <w:color w:val="000000"/>
                <w:sz w:val="26"/>
                <w:szCs w:val="26"/>
              </w:rPr>
              <w:t xml:space="preserve">щения информации на своем официальном сайте в сети "Интернет" о возможности проведения таких профилактических визитов.</w:t>
            </w:r>
            <w:r>
              <w:rPr>
                <w:color w:val="000000"/>
                <w:sz w:val="26"/>
                <w:szCs w:val="26"/>
              </w:rPr>
            </w:r>
            <w:r/>
          </w:p>
          <w:p>
            <w:pPr>
              <w:spacing w:after="28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/>
          </w:p>
        </w:tc>
      </w:tr>
    </w:tbl>
    <w:tbl>
      <w:tblPr>
        <w:tblStyle w:val="644"/>
        <w:tblW w:w="0" w:type="auto"/>
        <w:tblLayout w:type="fixed"/>
        <w:tblLook w:val="04A0" w:firstRow="1" w:lastRow="0" w:firstColumn="1" w:lastColumn="0" w:noHBand="0" w:noVBand="1"/>
      </w:tblPr>
      <w:tblGrid>
        <w:gridCol w:w="2659"/>
        <w:gridCol w:w="2976"/>
        <w:gridCol w:w="2976"/>
        <w:gridCol w:w="5669"/>
      </w:tblGrid>
      <w:tr>
        <w:trPr/>
        <w:tc>
          <w:tcPr>
            <w:tcW w:w="2659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Обобщение правоприменительной практики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ОЗПП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Arial" w:cs="Times New Roman"/>
                <w:color w:val="333333"/>
                <w:sz w:val="26"/>
                <w:szCs w:val="26"/>
                <w:highlight w:val="white"/>
              </w:rPr>
              <w:t xml:space="preserve">Один раз в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Подготовка обобщения результатов правоприменительной практики Управления, направление результатов в Федеральную службу по надзору в сфере защиты прав потребителей и благополучия человека для включения в ежегодный доклад о состоянии государственного контроля</w:t>
            </w:r>
            <w:r>
              <w:rPr>
                <w:sz w:val="26"/>
                <w:szCs w:val="26"/>
              </w:rPr>
              <w:t xml:space="preserve"> (надзора) и ежегодный госдоклад по защите прав потребителей. Размещение результатов правоприменительной практики Управления в области защиты прав потребителей на сайте Управления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footnotePr/>
      <w:endnotePr/>
      <w:type w:val="nextPage"/>
      <w:pgSz w:w="16838" w:h="11906" w:orient="landscape"/>
      <w:pgMar w:top="851" w:right="1134" w:bottom="1276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5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5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35"/>
    <w:link w:val="640"/>
    <w:uiPriority w:val="99"/>
  </w:style>
  <w:style w:type="character" w:styleId="44">
    <w:name w:val="Footer Char"/>
    <w:basedOn w:val="635"/>
    <w:link w:val="642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42"/>
    <w:uiPriority w:val="99"/>
  </w:style>
  <w:style w:type="table" w:styleId="48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5"/>
    <w:uiPriority w:val="99"/>
    <w:unhideWhenUsed/>
    <w:rPr>
      <w:vertAlign w:val="superscript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5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>
    <w:name w:val="Balloon Text"/>
    <w:basedOn w:val="634"/>
    <w:link w:val="6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39" w:customStyle="1">
    <w:name w:val="Текст выноски Знак"/>
    <w:basedOn w:val="635"/>
    <w:link w:val="63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40">
    <w:name w:val="Header"/>
    <w:basedOn w:val="634"/>
    <w:link w:val="6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1" w:customStyle="1">
    <w:name w:val="Верхний колонтитул Знак"/>
    <w:basedOn w:val="635"/>
    <w:link w:val="64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2">
    <w:name w:val="Footer"/>
    <w:basedOn w:val="634"/>
    <w:link w:val="6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3" w:customStyle="1">
    <w:name w:val="Нижний колонтитул Знак"/>
    <w:basedOn w:val="635"/>
    <w:link w:val="64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44">
    <w:name w:val="Table Grid"/>
    <w:basedOn w:val="636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64E5-155C-4FB2-BCC2-7BF3ABFE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Лямкина ТА.</dc:creator>
  <cp:revision>3</cp:revision>
  <dcterms:created xsi:type="dcterms:W3CDTF">2023-09-25T09:52:00Z</dcterms:created>
  <dcterms:modified xsi:type="dcterms:W3CDTF">2024-09-29T04:13:12Z</dcterms:modified>
</cp:coreProperties>
</file>